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7E" w:rsidRPr="00ED52E1" w:rsidRDefault="00180655" w:rsidP="007B167E">
      <w:pPr>
        <w:pStyle w:val="CK12ChapterTitle"/>
        <w:outlineLvl w:val="0"/>
      </w:pPr>
      <w:r>
        <w:t xml:space="preserve">Mineral Formation </w:t>
      </w:r>
      <w:proofErr w:type="spellStart"/>
      <w:r>
        <w:t>PostRead</w:t>
      </w:r>
      <w:proofErr w:type="spellEnd"/>
    </w:p>
    <w:p w:rsidR="007B167E" w:rsidRDefault="007B167E" w:rsidP="007B167E">
      <w:pPr>
        <w:pStyle w:val="CK12SectionTitle"/>
        <w:outlineLvl w:val="0"/>
      </w:pPr>
      <w:r>
        <w:t>Objective</w:t>
      </w:r>
    </w:p>
    <w:p w:rsidR="007B167E" w:rsidRPr="00805179" w:rsidRDefault="007B167E" w:rsidP="007B167E">
      <w:pPr>
        <w:pStyle w:val="CK12LessonBase"/>
      </w:pPr>
      <w:r w:rsidRPr="00D00D58">
        <w:rPr>
          <w:color w:val="auto"/>
        </w:rPr>
        <w:t>To define and analyze the processes of a concept and build a step-by-step picture of the process for analysis, discussion, or communication</w:t>
      </w:r>
      <w:r>
        <w:rPr>
          <w:color w:val="auto"/>
        </w:rPr>
        <w:t xml:space="preserve"> using a sequence diagram</w:t>
      </w:r>
      <w:r w:rsidRPr="00D00D58">
        <w:rPr>
          <w:color w:val="auto"/>
        </w:rPr>
        <w:t>.</w:t>
      </w:r>
    </w:p>
    <w:p w:rsidR="007B167E" w:rsidRDefault="007B167E" w:rsidP="007B167E">
      <w:pPr>
        <w:pStyle w:val="CK12SectionTitle"/>
        <w:outlineLvl w:val="0"/>
      </w:pPr>
      <w:r>
        <w:t>Instruction</w:t>
      </w:r>
    </w:p>
    <w:p w:rsidR="007B167E" w:rsidRPr="004B274E" w:rsidRDefault="007B167E" w:rsidP="007B167E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7B167E" w:rsidRDefault="007B167E" w:rsidP="007B167E">
      <w:pPr>
        <w:pStyle w:val="CK12SectionTitle"/>
        <w:outlineLvl w:val="0"/>
      </w:pPr>
      <w:r>
        <w:t>Activity</w:t>
      </w:r>
    </w:p>
    <w:p w:rsidR="007B167E" w:rsidRDefault="007B167E" w:rsidP="007B167E">
      <w:pPr>
        <w:spacing w:after="0" w:line="240" w:lineRule="auto"/>
        <w:textAlignment w:val="baseline"/>
      </w:pPr>
      <w:r>
        <w:t xml:space="preserve">Complete the diagram below to show a flow of events or categories.  Place the first step or largest category in the top box, and the last step or smallest category in the boxes in the bottom row. </w:t>
      </w:r>
      <w:r w:rsidR="008F21F6">
        <w:t xml:space="preserve"> (See next Page for activity)</w:t>
      </w:r>
    </w:p>
    <w:p w:rsidR="008F21F6" w:rsidRDefault="008F21F6" w:rsidP="008F21F6">
      <w:pPr>
        <w:pStyle w:val="CK12LessonBase"/>
        <w:rPr>
          <w:rFonts w:hAnsi="Tahoma" w:cs="Tahoma"/>
          <w:color w:val="auto"/>
          <w:sz w:val="36"/>
          <w:szCs w:val="36"/>
        </w:rPr>
      </w:pPr>
    </w:p>
    <w:p w:rsidR="008F21F6" w:rsidRDefault="008F21F6" w:rsidP="008F21F6">
      <w:pPr>
        <w:pStyle w:val="CK12LessonBase"/>
        <w:rPr>
          <w:rFonts w:hAnsi="Tahoma" w:cs="Tahoma"/>
          <w:color w:val="auto"/>
          <w:sz w:val="36"/>
          <w:szCs w:val="36"/>
        </w:rPr>
      </w:pPr>
    </w:p>
    <w:p w:rsidR="007B167E" w:rsidRDefault="008F21F6" w:rsidP="008F21F6">
      <w:pPr>
        <w:pStyle w:val="CK12LessonBase"/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1" type="#_x0000_t32" style="position:absolute;margin-left:404.25pt;margin-top:144.6pt;width:0;height:18.95pt;z-index:251768832" o:connectortype="straight">
            <v:stroke endarrow="block"/>
          </v:shape>
        </w:pict>
      </w:r>
      <w:r>
        <w:rPr>
          <w:noProof/>
        </w:rPr>
      </w:r>
      <w:r>
        <w:pict>
          <v:group id="_x0000_s1085" style="width:618.9pt;height:427.45pt;mso-position-horizontal-relative:char;mso-position-vertical-relative:line" coordorigin="1405,2634" coordsize="12378,854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left:2973;top:4226;width:1852;height:1029;mso-width-relative:margin;mso-height-relative:margin">
              <v:textbox style="mso-next-textbox:#_x0000_s1086">
                <w:txbxContent>
                  <w:p w:rsidR="008F21F6" w:rsidRPr="007B167E" w:rsidRDefault="008F21F6" w:rsidP="008F21F6">
                    <w:pPr>
                      <w:jc w:val="center"/>
                      <w:rPr>
                        <w:rFonts w:ascii="Tahoma" w:hAnsi="Tahoma" w:cs="Tahoma"/>
                        <w:sz w:val="36"/>
                        <w:szCs w:val="36"/>
                      </w:rPr>
                    </w:pPr>
                    <w:r w:rsidRPr="007B167E">
                      <w:rPr>
                        <w:rFonts w:ascii="Tahoma" w:hAnsi="Tahoma" w:cs="Tahoma"/>
                        <w:sz w:val="36"/>
                        <w:szCs w:val="36"/>
                      </w:rPr>
                      <w:t>Magma</w:t>
                    </w:r>
                  </w:p>
                </w:txbxContent>
              </v:textbox>
            </v:shape>
            <v:shape id="_x0000_s1087" type="#_x0000_t202" style="position:absolute;left:1405;top:5896;width:2017;height:1070;mso-width-relative:margin;mso-height-relative:margin">
              <v:textbox style="mso-next-textbox:#_x0000_s1087">
                <w:txbxContent>
                  <w:p w:rsidR="008F21F6" w:rsidRPr="008F21F6" w:rsidRDefault="008F21F6" w:rsidP="008F21F6"/>
                </w:txbxContent>
              </v:textbox>
            </v:shape>
            <v:shape id="_x0000_s1088" type="#_x0000_t202" style="position:absolute;left:3890;top:5896;width:2057;height:1084;mso-width-relative:margin;mso-height-relative:margin">
              <v:textbox style="mso-next-textbox:#_x0000_s1088">
                <w:txbxContent>
                  <w:p w:rsidR="00CB40C5" w:rsidRPr="007B167E" w:rsidRDefault="00CB40C5" w:rsidP="00CB40C5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7B167E">
                      <w:rPr>
                        <w:rFonts w:ascii="Tahoma" w:hAnsi="Tahoma" w:cs="Tahoma"/>
                        <w:sz w:val="24"/>
                        <w:szCs w:val="24"/>
                      </w:rPr>
                      <w:t>Eruption onto Earth’s Surface</w:t>
                    </w:r>
                  </w:p>
                  <w:p w:rsidR="008F21F6" w:rsidRPr="008F21F6" w:rsidRDefault="008F21F6" w:rsidP="008F21F6"/>
                </w:txbxContent>
              </v:textbox>
            </v:shape>
            <v:shape id="_x0000_s1089" type="#_x0000_t202" style="position:absolute;left:3890;top:7668;width:2154;height:1066;mso-width-relative:margin;mso-height-relative:margin">
              <v:textbox style="mso-next-textbox:#_x0000_s1089">
                <w:txbxContent>
                  <w:p w:rsidR="008F21F6" w:rsidRPr="007B167E" w:rsidRDefault="008F21F6" w:rsidP="008F21F6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90" type="#_x0000_t202" style="position:absolute;left:7293;top:4226;width:1852;height:1029;mso-width-relative:margin;mso-height-relative:margin">
              <v:textbox style="mso-next-textbox:#_x0000_s1090">
                <w:txbxContent>
                  <w:p w:rsidR="008F21F6" w:rsidRPr="007B167E" w:rsidRDefault="008F21F6" w:rsidP="008F21F6">
                    <w:pPr>
                      <w:jc w:val="center"/>
                      <w:rPr>
                        <w:rFonts w:ascii="Tahoma" w:hAnsi="Tahoma" w:cs="Tahoma"/>
                        <w:sz w:val="36"/>
                        <w:szCs w:val="36"/>
                      </w:rPr>
                    </w:pPr>
                    <w:r>
                      <w:rPr>
                        <w:rFonts w:ascii="Tahoma" w:hAnsi="Tahoma" w:cs="Tahoma"/>
                        <w:sz w:val="36"/>
                        <w:szCs w:val="36"/>
                      </w:rPr>
                      <w:t>Existing Rock</w:t>
                    </w:r>
                  </w:p>
                </w:txbxContent>
              </v:textbox>
            </v:shape>
            <v:shape id="_x0000_s1091" type="#_x0000_t202" style="position:absolute;left:6341;top:5896;width:1794;height:1029;mso-width-relative:margin;mso-height-relative:margin">
              <v:textbox style="mso-next-textbox:#_x0000_s1091">
                <w:txbxContent>
                  <w:p w:rsidR="008F21F6" w:rsidRPr="008F21F6" w:rsidRDefault="008F21F6" w:rsidP="008F21F6"/>
                </w:txbxContent>
              </v:textbox>
            </v:shape>
            <v:shape id="_x0000_s1092" type="#_x0000_t202" style="position:absolute;left:7145;top:7499;width:2212;height:1514;mso-width-relative:margin;mso-height-relative:margin">
              <v:textbox style="mso-next-textbox:#_x0000_s1092">
                <w:txbxContent>
                  <w:p w:rsidR="00CB40C5" w:rsidRPr="007B167E" w:rsidRDefault="00CB40C5" w:rsidP="00CB40C5">
                    <w:pPr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Molecules rearrange or change to form new minerals</w:t>
                    </w:r>
                  </w:p>
                  <w:p w:rsidR="008F21F6" w:rsidRPr="007B167E" w:rsidRDefault="008F21F6" w:rsidP="008F21F6">
                    <w:pPr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93" type="#_x0000_t202" style="position:absolute;left:11365;top:4226;width:2212;height:1029;mso-width-relative:margin;mso-height-relative:margin">
              <v:textbox style="mso-next-textbox:#_x0000_s1093">
                <w:txbxContent>
                  <w:p w:rsidR="008F21F6" w:rsidRPr="007B167E" w:rsidRDefault="008F21F6" w:rsidP="008F21F6">
                    <w:pPr>
                      <w:jc w:val="center"/>
                      <w:rPr>
                        <w:rFonts w:ascii="Tahoma" w:hAnsi="Tahoma" w:cs="Tahoma"/>
                        <w:sz w:val="36"/>
                        <w:szCs w:val="36"/>
                      </w:rPr>
                    </w:pPr>
                    <w:r>
                      <w:rPr>
                        <w:rFonts w:ascii="Tahoma" w:hAnsi="Tahoma" w:cs="Tahoma"/>
                        <w:sz w:val="36"/>
                        <w:szCs w:val="36"/>
                      </w:rPr>
                      <w:t>Salt Water Solutions</w:t>
                    </w:r>
                  </w:p>
                </w:txbxContent>
              </v:textbox>
            </v:shape>
            <v:shape id="_x0000_s1094" type="#_x0000_t202" style="position:absolute;left:11365;top:5855;width:2418;height:1070;mso-width-relative:margin;mso-height-relative:margin">
              <v:textbox style="mso-next-textbox:#_x0000_s1094">
                <w:txbxContent>
                  <w:p w:rsidR="008F21F6" w:rsidRPr="007B167E" w:rsidRDefault="008F21F6" w:rsidP="008F21F6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95" type="#_x0000_t202" style="position:absolute;left:11272;top:7668;width:2511;height:1440;mso-width-relative:margin;mso-height-relative:margin">
              <v:textbox style="mso-next-textbox:#_x0000_s1095">
                <w:txbxContent>
                  <w:p w:rsidR="00CB40C5" w:rsidRPr="007B167E" w:rsidRDefault="00CB40C5" w:rsidP="00CB40C5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>There are too many minerals and salts to stay dissolved in remaining water</w:t>
                    </w:r>
                  </w:p>
                  <w:p w:rsidR="008F21F6" w:rsidRPr="007B167E" w:rsidRDefault="008F21F6" w:rsidP="008F21F6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96" type="#_x0000_t202" style="position:absolute;left:11272;top:9743;width:2511;height:1440;mso-width-relative:margin;mso-height-relative:margin">
              <v:textbox style="mso-next-textbox:#_x0000_s1096">
                <w:txbxContent>
                  <w:p w:rsidR="008F21F6" w:rsidRPr="008F21F6" w:rsidRDefault="008F21F6" w:rsidP="008F21F6"/>
                </w:txbxContent>
              </v:textbox>
            </v:shape>
            <v:shape id="_x0000_s1097" type="#_x0000_t202" style="position:absolute;left:8596;top:5896;width:1895;height:1029;mso-width-relative:margin;mso-height-relative:margin">
              <v:textbox style="mso-next-textbox:#_x0000_s1097">
                <w:txbxContent>
                  <w:p w:rsidR="008F21F6" w:rsidRPr="008F21F6" w:rsidRDefault="008F21F6" w:rsidP="008F21F6"/>
                </w:txbxContent>
              </v:textbox>
            </v:shape>
            <v:shape id="_x0000_s1098" type="#_x0000_t202" style="position:absolute;left:5409;top:2634;width:5660;height:723;mso-width-relative:margin;mso-height-relative:margin">
              <v:textbox style="mso-next-textbox:#_x0000_s1098">
                <w:txbxContent>
                  <w:p w:rsidR="008F21F6" w:rsidRPr="00CE1781" w:rsidRDefault="008F21F6" w:rsidP="008F21F6">
                    <w:pPr>
                      <w:jc w:val="center"/>
                      <w:rPr>
                        <w:rFonts w:ascii="Tahoma" w:hAnsi="Tahoma" w:cs="Tahoma"/>
                        <w:sz w:val="36"/>
                        <w:szCs w:val="36"/>
                      </w:rPr>
                    </w:pPr>
                    <w:r w:rsidRPr="00CE1781">
                      <w:rPr>
                        <w:rFonts w:ascii="Tahoma" w:hAnsi="Tahoma" w:cs="Tahoma"/>
                        <w:sz w:val="36"/>
                        <w:szCs w:val="36"/>
                      </w:rPr>
                      <w:t>Pathways to Mineral Formation</w:t>
                    </w:r>
                  </w:p>
                </w:txbxContent>
              </v:textbox>
            </v:shape>
            <v:shape id="_x0000_s1099" type="#_x0000_t32" style="position:absolute;left:8135;top:3358;width:0;height:271" o:connectortype="straight"/>
            <v:shape id="_x0000_s1100" type="#_x0000_t32" style="position:absolute;left:3890;top:3628;width:8546;height:1" o:connectortype="straight"/>
            <v:shape id="_x0000_s1101" type="#_x0000_t32" style="position:absolute;left:8247;top:5255;width:0;height:262" o:connectortype="straight"/>
            <v:shape id="_x0000_s1102" type="#_x0000_t32" style="position:absolute;left:7038;top:5517;width:2444;height:0" o:connectortype="straight"/>
            <v:shape id="_x0000_s1103" type="#_x0000_t32" style="position:absolute;left:3868;top:5255;width:0;height:262" o:connectortype="straight"/>
            <v:shape id="_x0000_s1104" type="#_x0000_t32" style="position:absolute;left:2659;top:5517;width:2319;height:0" o:connectortype="straight"/>
            <v:shape id="_x0000_s1105" type="#_x0000_t32" style="position:absolute;left:2659;top:5517;width:0;height:379" o:connectortype="straight">
              <v:stroke endarrow="block"/>
            </v:shape>
            <v:shape id="_x0000_s1106" type="#_x0000_t32" style="position:absolute;left:4978;top:5517;width:0;height:379" o:connectortype="straight">
              <v:stroke endarrow="block"/>
            </v:shape>
            <v:shape id="_x0000_s1107" type="#_x0000_t32" style="position:absolute;left:4978;top:6966;width:0;height:702" o:connectortype="straight">
              <v:stroke endarrow="block"/>
            </v:shape>
            <v:shape id="_x0000_s1108" type="#_x0000_t32" style="position:absolute;left:7038;top:5517;width:0;height:379" o:connectortype="straight">
              <v:stroke endarrow="block"/>
            </v:shape>
            <v:shape id="_x0000_s1109" type="#_x0000_t32" style="position:absolute;left:12436;top:5255;width:0;height:600" o:connectortype="straight">
              <v:stroke endarrow="block"/>
            </v:shape>
            <v:shape id="_x0000_s1110" type="#_x0000_t32" style="position:absolute;left:12436;top:6925;width:0;height:743" o:connectortype="straight">
              <v:stroke endarrow="block"/>
            </v:shape>
            <v:shape id="_x0000_s1111" type="#_x0000_t32" style="position:absolute;left:12436;top:9108;width:0;height:635" o:connectortype="straight">
              <v:stroke endarrow="block"/>
            </v:shape>
            <v:shape id="_x0000_s1112" type="#_x0000_t32" style="position:absolute;left:3890;top:3628;width:0;height:598" o:connectortype="straight">
              <v:stroke endarrow="block"/>
            </v:shape>
            <v:shape id="_x0000_s1113" type="#_x0000_t32" style="position:absolute;left:12436;top:3629;width:0;height:597" o:connectortype="straight">
              <v:stroke endarrow="block"/>
            </v:shape>
            <v:shape id="_x0000_s1114" type="#_x0000_t32" style="position:absolute;left:8135;top:3629;width:0;height:597" o:connectortype="straight">
              <v:stroke endarrow="block"/>
            </v:shape>
            <v:shape id="_x0000_s1115" type="#_x0000_t32" style="position:absolute;left:8596;top:6925;width:886;height:574;flip:x" o:connectortype="straight">
              <v:stroke endarrow="block"/>
            </v:shape>
            <v:shape id="_x0000_s1116" type="#_x0000_t32" style="position:absolute;left:7145;top:6925;width:840;height:574" o:connectortype="straight">
              <v:stroke endarrow="block"/>
            </v:shape>
            <w10:wrap type="none"/>
            <w10:anchorlock/>
          </v:group>
        </w:pict>
      </w:r>
    </w:p>
    <w:p w:rsidR="007B167E" w:rsidRDefault="007B167E" w:rsidP="007B167E">
      <w:pPr>
        <w:pStyle w:val="CK12SectionTitle"/>
        <w:outlineLvl w:val="0"/>
      </w:pPr>
    </w:p>
    <w:sectPr w:rsidR="007B167E" w:rsidSect="007B16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167E"/>
    <w:rsid w:val="000D608D"/>
    <w:rsid w:val="00180655"/>
    <w:rsid w:val="003519AA"/>
    <w:rsid w:val="005A7EE7"/>
    <w:rsid w:val="00693AFC"/>
    <w:rsid w:val="007B167E"/>
    <w:rsid w:val="008A4778"/>
    <w:rsid w:val="008F21F6"/>
    <w:rsid w:val="00CB40C5"/>
    <w:rsid w:val="00CE1781"/>
    <w:rsid w:val="00E2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5" type="connector" idref="#_x0000_s1099"/>
        <o:r id="V:Rule36" type="connector" idref="#_x0000_s1100"/>
        <o:r id="V:Rule37" type="connector" idref="#_x0000_s1101"/>
        <o:r id="V:Rule38" type="connector" idref="#_x0000_s1102"/>
        <o:r id="V:Rule39" type="connector" idref="#_x0000_s1103"/>
        <o:r id="V:Rule40" type="connector" idref="#_x0000_s1104"/>
        <o:r id="V:Rule41" type="connector" idref="#_x0000_s1105"/>
        <o:r id="V:Rule42" type="connector" idref="#_x0000_s1106"/>
        <o:r id="V:Rule43" type="connector" idref="#_x0000_s1107"/>
        <o:r id="V:Rule44" type="connector" idref="#_x0000_s1108"/>
        <o:r id="V:Rule45" type="connector" idref="#_x0000_s1109"/>
        <o:r id="V:Rule46" type="connector" idref="#_x0000_s1110"/>
        <o:r id="V:Rule47" type="connector" idref="#_x0000_s1111"/>
        <o:r id="V:Rule48" type="connector" idref="#_x0000_s1112"/>
        <o:r id="V:Rule49" type="connector" idref="#_x0000_s1113"/>
        <o:r id="V:Rule50" type="connector" idref="#_x0000_s1114"/>
        <o:r id="V:Rule51" type="connector" idref="#_x0000_s1115"/>
        <o:r id="V:Rule52" type="connector" idref="#_x0000_s1116"/>
        <o:r id="V:Rule71" type="connector" idref="#_x0000_s115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7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7B167E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7B167E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7B167E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67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2012-06-29T22:02:00Z</dcterms:created>
  <dcterms:modified xsi:type="dcterms:W3CDTF">2012-06-29T22:02:00Z</dcterms:modified>
</cp:coreProperties>
</file>